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19E1" w:rsidRDefault="009647F2" w:rsidP="009647F2">
      <w:pPr>
        <w:spacing w:line="360" w:lineRule="auto"/>
      </w:pPr>
      <w:r>
        <w:t>Slide 1</w:t>
      </w:r>
    </w:p>
    <w:p w:rsidR="009647F2" w:rsidRDefault="009647F2" w:rsidP="009647F2">
      <w:pPr>
        <w:spacing w:line="360" w:lineRule="auto"/>
      </w:pPr>
    </w:p>
    <w:p w:rsidR="009647F2" w:rsidRDefault="009647F2" w:rsidP="009647F2">
      <w:pPr>
        <w:spacing w:line="360" w:lineRule="auto"/>
        <w:jc w:val="center"/>
      </w:pPr>
      <w:r>
        <w:object w:dxaOrig="9594"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2.5pt" o:ole="" o:bordertopcolor="this" o:borderleftcolor="this" o:borderbottomcolor="this" o:borderrightcolor="this">
            <v:imagedata r:id="rId4" o:title=""/>
            <w10:bordertop type="single" width="4" shadow="t"/>
            <w10:borderleft type="single" width="4" shadow="t"/>
            <w10:borderbottom type="single" width="4" shadow="t"/>
            <w10:borderright type="single" width="4" shadow="t"/>
          </v:shape>
          <o:OLEObject Type="Embed" ProgID="PowerPoint.Slide.12" ShapeID="_x0000_i1025" DrawAspect="Content" ObjectID="_1465518623" r:id="rId5"/>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jc w:val="center"/>
        <w:rPr>
          <w:rFonts w:ascii="Arial" w:hAnsi="Times New Roman" w:cs="Arial"/>
          <w:kern w:val="24"/>
          <w:sz w:val="24"/>
          <w:szCs w:val="24"/>
        </w:rPr>
      </w:pPr>
      <w:r>
        <w:rPr>
          <w:rFonts w:ascii="Arial" w:hAnsi="Times New Roman" w:cs="Arial"/>
          <w:b/>
          <w:bCs/>
          <w:kern w:val="24"/>
          <w:sz w:val="24"/>
          <w:szCs w:val="24"/>
        </w:rPr>
        <w:t>‘</w:t>
      </w:r>
      <w:r>
        <w:rPr>
          <w:rFonts w:ascii="Arial" w:hAnsi="Times New Roman" w:cs="Arial"/>
          <w:b/>
          <w:bCs/>
          <w:kern w:val="24"/>
          <w:sz w:val="24"/>
          <w:szCs w:val="24"/>
        </w:rPr>
        <w:t>Virtual Tour of Oldest Known NYC Potter</w:t>
      </w:r>
      <w:r>
        <w:rPr>
          <w:rFonts w:ascii="Arial" w:hAnsi="Times New Roman" w:cs="Arial"/>
          <w:b/>
          <w:bCs/>
          <w:kern w:val="24"/>
          <w:sz w:val="24"/>
          <w:szCs w:val="24"/>
        </w:rPr>
        <w:t>’</w:t>
      </w:r>
      <w:r>
        <w:rPr>
          <w:rFonts w:ascii="Arial" w:hAnsi="Times New Roman" w:cs="Arial"/>
          <w:b/>
          <w:bCs/>
          <w:kern w:val="24"/>
          <w:sz w:val="24"/>
          <w:szCs w:val="24"/>
        </w:rPr>
        <w:t>s Field Burial Register</w:t>
      </w:r>
      <w:r>
        <w:rPr>
          <w:rFonts w:ascii="Arial" w:hAnsi="Times New Roman" w:cs="Arial"/>
          <w:b/>
          <w:bCs/>
          <w:kern w:val="24"/>
          <w:sz w:val="24"/>
          <w:szCs w:val="24"/>
        </w:rPr>
        <w:t>’</w:t>
      </w:r>
    </w:p>
    <w:p w:rsidR="009647F2" w:rsidRDefault="009647F2" w:rsidP="009647F2">
      <w:pPr>
        <w:autoSpaceDE w:val="0"/>
        <w:autoSpaceDN w:val="0"/>
        <w:adjustRightInd w:val="0"/>
        <w:spacing w:after="0" w:line="240" w:lineRule="auto"/>
        <w:rPr>
          <w:rFonts w:ascii="Calibri" w:hAnsi="Calibri" w:cs="Calibri"/>
          <w:b/>
          <w:bCs/>
          <w:i/>
          <w:iCs/>
          <w:kern w:val="24"/>
          <w:sz w:val="24"/>
          <w:szCs w:val="24"/>
        </w:rPr>
      </w:pPr>
      <w:proofErr w:type="gramStart"/>
      <w:r>
        <w:rPr>
          <w:rFonts w:ascii="Calibri" w:hAnsi="Calibri" w:cs="Calibri"/>
          <w:b/>
          <w:bCs/>
          <w:i/>
          <w:iCs/>
          <w:kern w:val="24"/>
          <w:sz w:val="24"/>
          <w:szCs w:val="24"/>
        </w:rPr>
        <w:t>presented</w:t>
      </w:r>
      <w:proofErr w:type="gramEnd"/>
      <w:r>
        <w:rPr>
          <w:rFonts w:ascii="Calibri" w:hAnsi="Calibri" w:cs="Calibri"/>
          <w:b/>
          <w:bCs/>
          <w:i/>
          <w:iCs/>
          <w:kern w:val="24"/>
          <w:sz w:val="24"/>
          <w:szCs w:val="24"/>
        </w:rPr>
        <w:t xml:space="preserve"> by Thomas McCarthy at 2014 Conference on NYS History, Poughkeepsie</w:t>
      </w:r>
    </w:p>
    <w:p w:rsidR="009647F2" w:rsidRDefault="009647F2" w:rsidP="009647F2">
      <w:pPr>
        <w:autoSpaceDE w:val="0"/>
        <w:autoSpaceDN w:val="0"/>
        <w:adjustRightInd w:val="0"/>
        <w:spacing w:after="0" w:line="240" w:lineRule="auto"/>
        <w:rPr>
          <w:rFonts w:ascii="Calibri" w:hAnsi="Calibri" w:cs="Calibri"/>
          <w:b/>
          <w:bCs/>
          <w:i/>
          <w:iCs/>
          <w:kern w:val="24"/>
          <w:sz w:val="24"/>
          <w:szCs w:val="24"/>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title of this panel session is “</w:t>
      </w:r>
      <w:r>
        <w:rPr>
          <w:rFonts w:ascii="Times New Roman" w:eastAsia="Times New Roman" w:hAnsi="Times New Roman" w:cs="Times New Roman"/>
          <w:i/>
          <w:iCs/>
          <w:kern w:val="24"/>
          <w:sz w:val="28"/>
          <w:szCs w:val="28"/>
        </w:rPr>
        <w:t>The Internet as Venue for Presenting Research and Collections to an Expanding Audience.</w:t>
      </w:r>
      <w:r>
        <w:rPr>
          <w:rFonts w:ascii="Times New Roman" w:eastAsia="Times New Roman" w:hAnsi="Times New Roman" w:cs="Times New Roman"/>
          <w:kern w:val="24"/>
          <w:sz w:val="28"/>
          <w:szCs w:val="28"/>
        </w:rPr>
        <w:t xml:space="preserve">”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240D9C"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That precisely was and is the premise of the NY Correction History Society and its web site begun in 1999 (and now its 1,200-member Facebook group):</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To expand awareness of and stimulated research interest in the history of correctional services of the state and its cities, counties, communities and private institutions.</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Outlined here today will be a massive web project still very much a work in progress, the largest that the site has yet undertaken</w:t>
      </w:r>
      <w:r>
        <w:rPr>
          <w:rFonts w:ascii="Times New Roman" w:eastAsia="Times New Roman" w:hAnsi="Times New Roman" w:cs="Times New Roman"/>
          <w:i/>
          <w:iCs/>
          <w:kern w:val="24"/>
          <w:sz w:val="28"/>
          <w:szCs w:val="28"/>
        </w:rPr>
        <w:t xml:space="preserve">: A 'Virtual Tour' of 1872-75 NYC Potter's Field Burial Ledger.  </w:t>
      </w:r>
      <w:r>
        <w:rPr>
          <w:rFonts w:ascii="Times New Roman" w:eastAsia="Times New Roman" w:hAnsi="Times New Roman" w:cs="Times New Roman"/>
          <w:kern w:val="24"/>
          <w:sz w:val="28"/>
          <w:szCs w:val="28"/>
        </w:rPr>
        <w:t>Already 38 of its pages have been created, featuring 50 images taken directly from the ledger itself.</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w:t>
      </w:r>
    </w:p>
    <w:p w:rsidR="009647F2" w:rsidRDefault="009647F2" w:rsidP="009647F2">
      <w:pPr>
        <w:spacing w:line="360" w:lineRule="auto"/>
      </w:pPr>
    </w:p>
    <w:p w:rsidR="009647F2" w:rsidRDefault="009647F2" w:rsidP="009647F2">
      <w:pPr>
        <w:spacing w:line="360" w:lineRule="auto"/>
        <w:jc w:val="center"/>
      </w:pPr>
      <w:r>
        <w:object w:dxaOrig="9594" w:dyaOrig="5407">
          <v:shape id="_x0000_i1026" type="#_x0000_t75" style="width:5in;height:20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65518624" r:id="rId7"/>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Why a virtual tour of a burial book?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Because it serves as a key to open doorways onto a variety of fascinating historical and social services paths for further personal study and even academic research into 1870s NYC.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That’s the image I want to leave you with: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hAnsi="Calibri" w:cs="Calibri"/>
          <w:kern w:val="24"/>
          <w:sz w:val="28"/>
          <w:szCs w:val="28"/>
        </w:rPr>
      </w:pPr>
      <w:r>
        <w:rPr>
          <w:rFonts w:ascii="Times New Roman" w:eastAsia="Times New Roman" w:hAnsi="Times New Roman" w:cs="Times New Roman"/>
          <w:kern w:val="24"/>
          <w:sz w:val="28"/>
          <w:szCs w:val="28"/>
        </w:rPr>
        <w:t>How this ki</w:t>
      </w:r>
      <w:r w:rsidR="00240D9C">
        <w:rPr>
          <w:rFonts w:ascii="Times New Roman" w:eastAsia="Times New Roman" w:hAnsi="Times New Roman" w:cs="Times New Roman"/>
          <w:kern w:val="24"/>
          <w:sz w:val="28"/>
          <w:szCs w:val="28"/>
        </w:rPr>
        <w:t xml:space="preserve">nd of record book is a key and </w:t>
      </w:r>
      <w:r>
        <w:rPr>
          <w:rFonts w:ascii="Times New Roman" w:eastAsia="Times New Roman" w:hAnsi="Times New Roman" w:cs="Times New Roman"/>
          <w:kern w:val="24"/>
          <w:sz w:val="28"/>
          <w:szCs w:val="28"/>
        </w:rPr>
        <w:t xml:space="preserve">its different data columns are doorways into how people actually lived, died and were buried in 1870s NYC.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3</w:t>
      </w:r>
    </w:p>
    <w:p w:rsidR="009647F2" w:rsidRDefault="009647F2" w:rsidP="009647F2">
      <w:pPr>
        <w:spacing w:line="360" w:lineRule="auto"/>
      </w:pPr>
    </w:p>
    <w:p w:rsidR="009647F2" w:rsidRDefault="009647F2" w:rsidP="009647F2">
      <w:pPr>
        <w:spacing w:line="360" w:lineRule="auto"/>
        <w:jc w:val="center"/>
      </w:pPr>
      <w:r>
        <w:object w:dxaOrig="9594" w:dyaOrig="5407">
          <v:shape id="_x0000_i1027" type="#_x0000_t75" style="width:5in;height:20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65518625" r:id="rId9"/>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In that era, Public Charities and Correction (PC&amp;C) was NYC’s humongous agency involving support, supervision and/or operation of institutions and services impacting the poor.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When the residents of those institutions and the recipients of those services died, often their bodies went unclaimed. PC&amp;C used the “free” labor available in its Correctional arm (the penitentiary inmates) to bury the unclaimed dead.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In 1868, the agency purchased Hart Island, a 10-minute ferry ride off City Island, for that and other purposes. The City Cemetery which was established there then and still operates is the 10</w:t>
      </w:r>
      <w:r>
        <w:rPr>
          <w:rFonts w:ascii="Times New Roman" w:eastAsia="Times New Roman" w:hAnsi="Times New Roman" w:cs="Times New Roman"/>
          <w:kern w:val="24"/>
          <w:sz w:val="28"/>
          <w:szCs w:val="28"/>
          <w:vertAlign w:val="superscript"/>
        </w:rPr>
        <w:t xml:space="preserve">th </w:t>
      </w:r>
      <w:r>
        <w:rPr>
          <w:rFonts w:ascii="Times New Roman" w:eastAsia="Times New Roman" w:hAnsi="Times New Roman" w:cs="Times New Roman"/>
          <w:kern w:val="24"/>
          <w:sz w:val="28"/>
          <w:szCs w:val="28"/>
        </w:rPr>
        <w:t xml:space="preserve">Potter’s Field in NYC history. </w:t>
      </w:r>
    </w:p>
    <w:p w:rsidR="00240D9C" w:rsidRDefault="00240D9C" w:rsidP="009647F2">
      <w:pPr>
        <w:autoSpaceDE w:val="0"/>
        <w:autoSpaceDN w:val="0"/>
        <w:adjustRightInd w:val="0"/>
        <w:spacing w:after="0" w:line="240" w:lineRule="auto"/>
        <w:rPr>
          <w:rFonts w:ascii="Calibri" w:eastAsia="Times New Roman" w:hAnsi="Times New Roman" w:cs="Calibri"/>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 xml:space="preserve">On April 20, 1869, the remains of Louisa Van </w:t>
      </w:r>
      <w:proofErr w:type="spellStart"/>
      <w:r>
        <w:rPr>
          <w:rFonts w:ascii="Times New Roman" w:eastAsia="Times New Roman" w:hAnsi="Times New Roman" w:cs="Times New Roman"/>
          <w:kern w:val="24"/>
          <w:sz w:val="28"/>
          <w:szCs w:val="28"/>
        </w:rPr>
        <w:t>Slyke</w:t>
      </w:r>
      <w:proofErr w:type="spellEnd"/>
      <w:r>
        <w:rPr>
          <w:rFonts w:ascii="Times New Roman" w:eastAsia="Times New Roman" w:hAnsi="Times New Roman" w:cs="Times New Roman"/>
          <w:kern w:val="24"/>
          <w:sz w:val="28"/>
          <w:szCs w:val="28"/>
        </w:rPr>
        <w:t xml:space="preserve">, 24, an orphan who died in the Charity Hospital on Blackwell's Island (now Roosevelt Island), became the first buried on Hart.  Between then and the date of the first entry in this ledger (May 28, 1872) is about 36 months. That’s why we think this book, covering 33 months, is the second ledger in the long series. Where the first is, isn’t known, making this the oldest known Hart Island Potter’s Field burial </w:t>
      </w:r>
      <w:proofErr w:type="gramStart"/>
      <w:r>
        <w:rPr>
          <w:rFonts w:ascii="Times New Roman" w:eastAsia="Times New Roman" w:hAnsi="Times New Roman" w:cs="Times New Roman"/>
          <w:kern w:val="24"/>
          <w:sz w:val="28"/>
          <w:szCs w:val="28"/>
        </w:rPr>
        <w:t>register.</w:t>
      </w:r>
      <w:proofErr w:type="gramEnd"/>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4</w:t>
      </w:r>
    </w:p>
    <w:p w:rsidR="009647F2" w:rsidRDefault="009647F2" w:rsidP="009647F2">
      <w:pPr>
        <w:spacing w:line="360" w:lineRule="auto"/>
      </w:pPr>
    </w:p>
    <w:p w:rsidR="009647F2" w:rsidRDefault="009647F2" w:rsidP="009647F2">
      <w:pPr>
        <w:spacing w:line="360" w:lineRule="auto"/>
        <w:jc w:val="center"/>
      </w:pPr>
      <w:r>
        <w:object w:dxaOrig="9594" w:dyaOrig="5407">
          <v:shape id="_x0000_i1028" type="#_x0000_t75" style="width:5in;height:202.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65518626" r:id="rId11"/>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To better gauge Potter’s Field importance then, consider that the Board of Health’s 4</w:t>
      </w:r>
      <w:r>
        <w:rPr>
          <w:rFonts w:ascii="Times New Roman" w:eastAsia="Times New Roman" w:hAnsi="Times New Roman" w:cs="Times New Roman"/>
          <w:kern w:val="24"/>
          <w:sz w:val="28"/>
          <w:szCs w:val="28"/>
          <w:vertAlign w:val="superscript"/>
        </w:rPr>
        <w:t>th</w:t>
      </w:r>
      <w:r>
        <w:rPr>
          <w:rFonts w:ascii="Times New Roman" w:eastAsia="Times New Roman" w:hAnsi="Times New Roman" w:cs="Times New Roman"/>
          <w:kern w:val="24"/>
          <w:sz w:val="28"/>
          <w:szCs w:val="28"/>
        </w:rPr>
        <w:t xml:space="preserve"> annual report (May 1, 1873 to April 30, 1874) declared:</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"During the year 1873, 13.05 per cent of the total deaths that occurred in this city were interred in this cemetery.”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Consider also that total deaths number cited was about 29,100, and then you realize what a major role the municipal burial grounds played.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table shown in the slide is excerpted and edited from one in that annual report.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Omitted are the tallies for about 20 other cemeteries.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Be aware that City Cemetery burials prior to April 20, 1869 included in the stats shown would have been at the previous Potter's Field -- the one situated on Ward's Island.</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5</w:t>
      </w:r>
    </w:p>
    <w:p w:rsidR="009647F2" w:rsidRDefault="009647F2" w:rsidP="009647F2">
      <w:pPr>
        <w:spacing w:line="360" w:lineRule="auto"/>
      </w:pPr>
    </w:p>
    <w:p w:rsidR="009647F2" w:rsidRDefault="009647F2" w:rsidP="009647F2">
      <w:pPr>
        <w:spacing w:line="360" w:lineRule="auto"/>
        <w:jc w:val="center"/>
      </w:pPr>
      <w:r>
        <w:object w:dxaOrig="9594" w:dyaOrig="5407">
          <v:shape id="_x0000_i1029" type="#_x0000_t75" style="width:5in;height:202.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65518627" r:id="rId13"/>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There are some for whom history without statistics is no history at all. I am not in this group. But out of deference to the sensibilities of those who are, I have jotted down a few numbers in this slide to make you feel more comfortable: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*Ledger measures 16x11 inches. 240 entry pages.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*Entries cover 33 months: 4/28/1872 – Feb. 26, ’75.</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*Book gives end-of-month totals &amp; breakdown of individual institutional body count contributions. Monthly totals combined: 8,921.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*Out-Door Poor (ODP) top count nearly every month. ODP refers to the non-institutionalized poor, living “outside” of the institutions’ doors.</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*38 of the web presentation’s projected 40 pages have already been posted in the working draft, 33 of them featuring the monthly tallies and institutional breakdowns. </w:t>
      </w: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6</w:t>
      </w:r>
    </w:p>
    <w:p w:rsidR="009647F2" w:rsidRDefault="009647F2" w:rsidP="009647F2">
      <w:pPr>
        <w:spacing w:line="360" w:lineRule="auto"/>
      </w:pPr>
    </w:p>
    <w:p w:rsidR="009647F2" w:rsidRDefault="009647F2" w:rsidP="009647F2">
      <w:pPr>
        <w:spacing w:line="360" w:lineRule="auto"/>
        <w:jc w:val="center"/>
      </w:pPr>
      <w:r>
        <w:object w:dxaOrig="9594" w:dyaOrig="5407">
          <v:shape id="_x0000_i1030" type="#_x0000_t75" style="width:5in;height:202.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65518628" r:id="rId15"/>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The plan for the web presentation is to explore and explain the background of each of the two dozen or so institutions listed in the monthly breakdowns. About a half-dozen so far</w:t>
      </w:r>
      <w:r w:rsidR="00240D9C">
        <w:rPr>
          <w:rFonts w:ascii="Times New Roman" w:hAnsi="Times New Roman" w:cs="Times New Roman"/>
          <w:kern w:val="24"/>
          <w:sz w:val="28"/>
          <w:szCs w:val="28"/>
        </w:rPr>
        <w:t xml:space="preserve"> </w:t>
      </w:r>
      <w:r>
        <w:rPr>
          <w:rFonts w:ascii="Times New Roman" w:hAnsi="Times New Roman" w:cs="Times New Roman"/>
          <w:kern w:val="24"/>
          <w:sz w:val="28"/>
          <w:szCs w:val="28"/>
        </w:rPr>
        <w:t xml:space="preserve">have received such spotlighting.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The aim to provide sufficient information to tempt some readers to find out more, thus open up new vistas to curious minds.</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An example of one of the doors which the ledger as a key opens up is the rule of Boss Tweed.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The burial book’s inside label identifies its maker as Manufacturing Stationers, one of Boss Tweed fronts for bilking city of millions.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hAnsi="Times New Roman" w:cs="Times New Roman"/>
          <w:kern w:val="24"/>
          <w:sz w:val="28"/>
          <w:szCs w:val="28"/>
        </w:rPr>
        <w:t xml:space="preserve">At 83 – 85 Duane St., St., it was short stroll from Tweed headquarters at 59 Duane. </w:t>
      </w:r>
      <w:r>
        <w:rPr>
          <w:rFonts w:ascii="Times New Roman" w:eastAsia="Times New Roman" w:hAnsi="Times New Roman" w:cs="Times New Roman"/>
          <w:kern w:val="24"/>
          <w:sz w:val="28"/>
          <w:szCs w:val="28"/>
        </w:rPr>
        <w:t>The web presentation section on this aspect cites a number of sources to back up the assertion.</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sidP="009647F2">
      <w:r>
        <w:br w:type="page"/>
      </w:r>
      <w:r>
        <w:lastRenderedPageBreak/>
        <w:t>Slide 7</w:t>
      </w:r>
    </w:p>
    <w:p w:rsidR="009647F2" w:rsidRDefault="009647F2" w:rsidP="009647F2">
      <w:pPr>
        <w:spacing w:line="360" w:lineRule="auto"/>
      </w:pPr>
    </w:p>
    <w:p w:rsidR="009647F2" w:rsidRDefault="009647F2" w:rsidP="009647F2">
      <w:pPr>
        <w:spacing w:line="360" w:lineRule="auto"/>
        <w:jc w:val="center"/>
      </w:pPr>
      <w:r>
        <w:object w:dxaOrig="9594" w:dyaOrig="5407">
          <v:shape id="_x0000_i1031" type="#_x0000_t75" style="width:5in;height:202.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65518629" r:id="rId17"/>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You will note I crossed out the names on the digital images (not on the actual pages). I left initials. I also crossed out private residence addresses.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240D9C"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You may disagree with me about my doing this. But I don’t think it is my place to disclose online that someone’s ancestor died in a lunatic asylum or in prison or of syphilis. You may argue I have right to publish public records and I agree. But likewise I have a right not to and see no compelling reason for me to do so.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Serving as an online ancestor look-up service is not the intent of the web presentation project being described here. I don’t say such a service is wrong. Only that it isn’t this project.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Besides, I am of a generation that believes in respecting and preserving family privacy. If the government, in its not-always infinite wisdom, decides to post that information on line, it presumably acts in the name of all the people. I could claim no such authority were I to expose, willy-nilly, families’ histories to the glare of the World Wide Web.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8</w:t>
      </w:r>
    </w:p>
    <w:p w:rsidR="009647F2" w:rsidRDefault="009647F2" w:rsidP="009647F2">
      <w:pPr>
        <w:spacing w:line="360" w:lineRule="auto"/>
      </w:pPr>
    </w:p>
    <w:p w:rsidR="009647F2" w:rsidRDefault="009647F2" w:rsidP="009647F2">
      <w:pPr>
        <w:spacing w:line="360" w:lineRule="auto"/>
        <w:jc w:val="center"/>
      </w:pPr>
      <w:r>
        <w:object w:dxaOrig="9594" w:dyaOrig="5407">
          <v:shape id="_x0000_i1032" type="#_x0000_t75" style="width:5in;height:202.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65518630" r:id="rId19"/>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spread-sheet line begins on the left-hand page with columns for burial sequence Numbers, Name, Age, Religion, Birthplace, </w:t>
      </w:r>
      <w:proofErr w:type="gramStart"/>
      <w:r>
        <w:rPr>
          <w:rFonts w:ascii="Times New Roman" w:eastAsia="Times New Roman" w:hAnsi="Times New Roman" w:cs="Times New Roman"/>
          <w:kern w:val="24"/>
          <w:sz w:val="28"/>
          <w:szCs w:val="28"/>
        </w:rPr>
        <w:t>How</w:t>
      </w:r>
      <w:proofErr w:type="gramEnd"/>
      <w:r>
        <w:rPr>
          <w:rFonts w:ascii="Times New Roman" w:eastAsia="Times New Roman" w:hAnsi="Times New Roman" w:cs="Times New Roman"/>
          <w:kern w:val="24"/>
          <w:sz w:val="28"/>
          <w:szCs w:val="28"/>
        </w:rPr>
        <w:t xml:space="preserve"> Long in Country, and Date of Death. The line continues on the right-hand page with columns for the Cause of Death, Certificate Signature, Residence, Date of Burial, and Remarks.</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latter column space was used sometimes to note that the body had been buried in an individual grave, not a common plot with 149 others, or that the body had been later disinterred.  Interestingly, there was no separate column for Race or Gender, but one for Religion.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presence of “Birthplace” and “How Long in Country” columns suggest such data was considered relevant, given controversies then raging about the foreign-born being a drain on city coffers. Sound familiar?</w:t>
      </w: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9</w:t>
      </w:r>
    </w:p>
    <w:p w:rsidR="009647F2" w:rsidRDefault="009647F2" w:rsidP="009647F2">
      <w:pPr>
        <w:spacing w:line="360" w:lineRule="auto"/>
      </w:pPr>
    </w:p>
    <w:p w:rsidR="009647F2" w:rsidRDefault="009647F2" w:rsidP="009647F2">
      <w:pPr>
        <w:spacing w:line="360" w:lineRule="auto"/>
        <w:jc w:val="center"/>
      </w:pPr>
      <w:r>
        <w:object w:dxaOrig="9594" w:dyaOrig="5407">
          <v:shape id="_x0000_i1033" type="#_x0000_t75" style="width:5in;height:20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65518631" r:id="rId21"/>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first line of data entered was for a woman, P.E., 40, a Protestant born in Germany but whose length of time in this country was not noted.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Her place of residence at time of death, May 23, 1872, was private (which is why it is digitally crossed out by me). </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cause of death was small pox. Date of burial: May 28, only a 5-day wait for the body to be claimed. Note the certificate signer is identified as Charles P. Russell.</w:t>
      </w:r>
    </w:p>
    <w:p w:rsidR="00240D9C" w:rsidRDefault="00240D9C"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Both Dr. Russell and Dr. Elisha Harris, who are repeatedly noted in the 1872-75 burial book as certificate signers, helped found the American Public Health Association (APHA) in 1872.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10</w:t>
      </w:r>
    </w:p>
    <w:p w:rsidR="009647F2" w:rsidRDefault="009647F2" w:rsidP="009647F2">
      <w:pPr>
        <w:spacing w:line="360" w:lineRule="auto"/>
      </w:pPr>
    </w:p>
    <w:p w:rsidR="009647F2" w:rsidRDefault="009647F2" w:rsidP="009647F2">
      <w:pPr>
        <w:spacing w:line="360" w:lineRule="auto"/>
        <w:jc w:val="center"/>
      </w:pPr>
      <w:r>
        <w:object w:dxaOrig="9594" w:dyaOrig="5407">
          <v:shape id="_x0000_i1034" type="#_x0000_t75" style="width:5in;height:20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65518632" r:id="rId23"/>
        </w:object>
      </w:r>
    </w:p>
    <w:p w:rsidR="009647F2" w:rsidRDefault="009647F2" w:rsidP="009647F2">
      <w:pPr>
        <w:spacing w:line="360" w:lineRule="auto"/>
        <w:jc w:val="center"/>
      </w:pP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Their medical colleague and departmental superior, Metropolitan Health Board Commissioner Dr. Stephan Smith, NY’s great public health pioneer, is generally credited as proposing in 1872 that an APHA be established.</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A month before this registry’s first entry, Dr. Harris chaired a NY meeting where first steps for an APHA where taken.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Later that same year Dr. Russell was named to lead efforts for “a unified system of registration of diseases and causes of death.” </w:t>
      </w: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11</w:t>
      </w:r>
    </w:p>
    <w:p w:rsidR="009647F2" w:rsidRDefault="009647F2" w:rsidP="009647F2">
      <w:pPr>
        <w:spacing w:line="360" w:lineRule="auto"/>
      </w:pPr>
    </w:p>
    <w:p w:rsidR="009647F2" w:rsidRDefault="009647F2" w:rsidP="009647F2">
      <w:pPr>
        <w:spacing w:line="360" w:lineRule="auto"/>
        <w:jc w:val="center"/>
      </w:pPr>
      <w:r>
        <w:object w:dxaOrig="9594" w:dyaOrig="5407">
          <v:shape id="_x0000_i1035" type="#_x0000_t75" style="width:5in;height:20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65518633" r:id="rId25"/>
        </w:object>
      </w:r>
      <w:bookmarkStart w:id="0" w:name="_GoBack"/>
      <w:bookmarkEnd w:id="0"/>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A month before this registry’s first entry, Dr. Harris chaired a NY meeting where first</w:t>
      </w:r>
      <w:r w:rsidR="007359EB">
        <w:rPr>
          <w:rFonts w:ascii="Times New Roman" w:eastAsia="Times New Roman" w:hAnsi="Times New Roman" w:cs="Times New Roman"/>
          <w:kern w:val="24"/>
          <w:sz w:val="28"/>
          <w:szCs w:val="28"/>
        </w:rPr>
        <w:t xml:space="preserve"> steps for an APHA where taken.</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Later that same year Dr. Russell was named to lead efforts for “a unified system of registration of diseases and causes of death.”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This burial book, in a way, can be said to have been in the delivery room at U.S. public health movement’s birth, or at least in a nearby waiting room.</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12</w:t>
      </w:r>
    </w:p>
    <w:p w:rsidR="009647F2" w:rsidRDefault="009647F2" w:rsidP="009647F2">
      <w:pPr>
        <w:spacing w:line="360" w:lineRule="auto"/>
      </w:pPr>
    </w:p>
    <w:p w:rsidR="009647F2" w:rsidRDefault="009647F2" w:rsidP="009647F2">
      <w:pPr>
        <w:spacing w:line="360" w:lineRule="auto"/>
        <w:jc w:val="center"/>
      </w:pPr>
      <w:r>
        <w:object w:dxaOrig="9594" w:dyaOrig="5407">
          <v:shape id="_x0000_i1036" type="#_x0000_t75" style="width:5in;height:20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65518634" r:id="rId27"/>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Certificate could be signed by a non-MD official like George Kellock, 30+ years Out-Door Poor Superintendent for PC&amp;C, which prompts me to suspect the “certificate” cited was a burial permit, not a death certificate declaring the medically determined cause of death.</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As previously stated, the Out-Door Poor (ODP) weren’t the homeless sleeping outside.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They were non- institutionalized recipients of aid; the poor outside of the institutional door. They had residences; if not upscale, at least the proverbial roof over their heads.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13</w:t>
      </w:r>
    </w:p>
    <w:p w:rsidR="009647F2" w:rsidRDefault="009647F2" w:rsidP="009647F2">
      <w:pPr>
        <w:spacing w:line="360" w:lineRule="auto"/>
      </w:pPr>
    </w:p>
    <w:p w:rsidR="009647F2" w:rsidRDefault="009647F2" w:rsidP="009647F2">
      <w:pPr>
        <w:spacing w:line="360" w:lineRule="auto"/>
        <w:jc w:val="center"/>
      </w:pPr>
      <w:r>
        <w:object w:dxaOrig="9594" w:dyaOrig="5407">
          <v:shape id="_x0000_i1037" type="#_x0000_t75" style="width:5in;height:20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65518635" r:id="rId29"/>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In a 1875 PC&amp;C report, Kellock noted $48,321 in money and 3,997 tons of coal went to 17, 174 families (62,395 persons), mostly Irish, mostly women and girls. </w:t>
      </w: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Evidentially, gender was relevant in the dispersal of the city’s largess.</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PC&amp;C report cover featured its traditional symbol: the allegorical mother feeding its needy offspring at her breast surrounded by objects iconic of learning, justice, industry, moral values and patriotism.</w:t>
      </w: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14</w:t>
      </w:r>
    </w:p>
    <w:p w:rsidR="009647F2" w:rsidRDefault="009647F2" w:rsidP="009647F2">
      <w:pPr>
        <w:spacing w:line="360" w:lineRule="auto"/>
      </w:pPr>
    </w:p>
    <w:p w:rsidR="009647F2" w:rsidRDefault="009647F2" w:rsidP="009647F2">
      <w:pPr>
        <w:spacing w:line="360" w:lineRule="auto"/>
        <w:jc w:val="center"/>
      </w:pPr>
      <w:r>
        <w:object w:dxaOrig="9594" w:dyaOrig="5407">
          <v:shape id="_x0000_i1038" type="#_x0000_t75" style="width:5in;height:20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65518636" r:id="rId31"/>
        </w:object>
      </w:r>
    </w:p>
    <w:p w:rsidR="009647F2" w:rsidRDefault="009647F2" w:rsidP="009647F2">
      <w:pPr>
        <w:spacing w:line="360" w:lineRule="auto"/>
        <w:jc w:val="center"/>
      </w:pP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Returning to the first entry, note the Cause of Death: Small Pox. Nothing “small” about the impact of this disease’s outbreaks on NYC, especially on the poor without means to escape to then outer suburbs (now incorporated into the city).</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w:t>
      </w: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For many months, the Small Pox Hospital on Blackwell’s Island (now Roosevelt Island) was the leading institutional contributor of bodies to Potter’s Field.</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w:t>
      </w:r>
    </w:p>
    <w:p w:rsidR="009647F2" w:rsidRDefault="009647F2" w:rsidP="009647F2">
      <w:pPr>
        <w:autoSpaceDE w:val="0"/>
        <w:autoSpaceDN w:val="0"/>
        <w:adjustRightInd w:val="0"/>
        <w:spacing w:after="0" w:line="240" w:lineRule="auto"/>
        <w:rPr>
          <w:rFonts w:ascii="Calibri" w:eastAsia="Times New Roman" w:hAnsi="Times New Roman" w:cs="Calibri"/>
          <w:kern w:val="24"/>
          <w:sz w:val="28"/>
          <w:szCs w:val="28"/>
        </w:rPr>
      </w:pPr>
      <w:r>
        <w:rPr>
          <w:rFonts w:ascii="Times New Roman" w:eastAsia="Times New Roman" w:hAnsi="Times New Roman" w:cs="Times New Roman"/>
          <w:kern w:val="24"/>
          <w:sz w:val="28"/>
          <w:szCs w:val="28"/>
        </w:rPr>
        <w:t xml:space="preserve">In fact, its 1872 May 115 body tally displaced the Out-Door Poor (which had 81 that month) as the top source of bodies, a rare occurrence given that ODP had a much larger client list than most institutions had patients or inmates.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15</w:t>
      </w:r>
    </w:p>
    <w:p w:rsidR="009647F2" w:rsidRDefault="009647F2" w:rsidP="009647F2">
      <w:pPr>
        <w:spacing w:line="360" w:lineRule="auto"/>
      </w:pPr>
    </w:p>
    <w:p w:rsidR="009647F2" w:rsidRDefault="009647F2" w:rsidP="009647F2">
      <w:pPr>
        <w:spacing w:line="360" w:lineRule="auto"/>
        <w:jc w:val="center"/>
      </w:pPr>
      <w:r>
        <w:object w:dxaOrig="9594" w:dyaOrig="5407">
          <v:shape id="_x0000_i1039" type="#_x0000_t75" style="width:5in;height:20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65518637" r:id="rId33"/>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other “leaders” on the body tally board that first month of entries in the book were the Foundling Asylum (79), Bellevue (50), the Charity Hospital (44) and the Emigrant Hospital (40).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Most of the other institutions, such as various hospitals and correction facilities (the City Prison aka Tombs, the Penitentiary, the Workhouse), were each in single digits. There were three exceptions, each in double digits: the Morgue (28), Castle Garden (18) and the Colored Home (13).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grand total for the book’s first monthly figure was 510. </w:t>
      </w:r>
    </w:p>
    <w:p w:rsidR="007359EB" w:rsidRDefault="007359EB" w:rsidP="009647F2">
      <w:pPr>
        <w:autoSpaceDE w:val="0"/>
        <w:autoSpaceDN w:val="0"/>
        <w:adjustRightInd w:val="0"/>
        <w:spacing w:after="0" w:line="240" w:lineRule="auto"/>
        <w:rPr>
          <w:rFonts w:ascii="Calibri" w:eastAsia="Times New Roman" w:hAnsi="Times New Roman" w:cs="Calibri"/>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For some reason, whose logic escapes me, all but three of the Colored Home monthly entries have its name abbreviated as “Col. Home.”  Once it appears “Col. d Home” with the “d” inserted above the line as an afterthought. Only twice is “Colored Home” spelled out.  Was the burial of “colored” in Potter’s Field an issue? As noted previously, the book has no column for racial identity.   </w:t>
      </w:r>
    </w:p>
    <w:p w:rsidR="009647F2" w:rsidRDefault="009647F2" w:rsidP="009647F2">
      <w:pPr>
        <w:autoSpaceDE w:val="0"/>
        <w:autoSpaceDN w:val="0"/>
        <w:adjustRightInd w:val="0"/>
        <w:spacing w:after="0" w:line="240" w:lineRule="auto"/>
        <w:rPr>
          <w:rFonts w:ascii="Calibri" w:hAnsi="Calibri" w:cs="Calibri"/>
          <w:kern w:val="24"/>
          <w:sz w:val="24"/>
          <w:szCs w:val="24"/>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16</w:t>
      </w:r>
    </w:p>
    <w:p w:rsidR="009647F2" w:rsidRDefault="009647F2" w:rsidP="009647F2">
      <w:pPr>
        <w:spacing w:line="360" w:lineRule="auto"/>
      </w:pPr>
    </w:p>
    <w:p w:rsidR="009647F2" w:rsidRDefault="009647F2" w:rsidP="009647F2">
      <w:pPr>
        <w:spacing w:line="360" w:lineRule="auto"/>
        <w:jc w:val="center"/>
      </w:pPr>
      <w:r>
        <w:object w:dxaOrig="9594" w:dyaOrig="5407">
          <v:shape id="_x0000_i1040" type="#_x0000_t75" style="width:5in;height:20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65518638" r:id="rId35"/>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working draft for the web presentation already includes sections about the Emigrants’ Hospital on Ward’s Island and on the founding of N.Y. Foundling</w:t>
      </w:r>
      <w:r>
        <w:rPr>
          <w:rFonts w:ascii="Times New Roman" w:eastAsia="Times New Roman" w:hAnsi="Times New Roman" w:cs="Times New Roman"/>
          <w:kern w:val="24"/>
          <w:sz w:val="24"/>
          <w:szCs w:val="24"/>
        </w:rPr>
        <w:t xml:space="preserve">. </w:t>
      </w:r>
      <w:r>
        <w:rPr>
          <w:rFonts w:ascii="Times New Roman" w:eastAsia="Times New Roman" w:hAnsi="Times New Roman" w:cs="Times New Roman"/>
          <w:kern w:val="24"/>
          <w:sz w:val="28"/>
          <w:szCs w:val="28"/>
        </w:rPr>
        <w:t>Responding to the post-Civil War rise in infanticides, Sister of Charity Irene Fitzgibbons began "The Foundling Asylum" on Oct. 8, 1869. Before the Jan. 1 projected opening date, the sisters were caring for 123 babies. After two years, they had accepted 2,500 babies.</w:t>
      </w:r>
    </w:p>
    <w:p w:rsidR="007359EB" w:rsidRDefault="007359EB" w:rsidP="009647F2">
      <w:pPr>
        <w:autoSpaceDE w:val="0"/>
        <w:autoSpaceDN w:val="0"/>
        <w:adjustRightInd w:val="0"/>
        <w:spacing w:after="0" w:line="240" w:lineRule="auto"/>
        <w:rPr>
          <w:rFonts w:ascii="Calibri" w:eastAsia="Times New Roman" w:hAnsi="Times New Roman" w:cs="Calibri"/>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In 1870, legislators authorized NYC to grant a site for a new structure, and appropriated $100,000 for construction if the asylum could match that from private donations. Building on the site -- 68th &amp; 69th </w:t>
      </w:r>
      <w:proofErr w:type="spellStart"/>
      <w:r>
        <w:rPr>
          <w:rFonts w:ascii="Times New Roman" w:eastAsia="Times New Roman" w:hAnsi="Times New Roman" w:cs="Times New Roman"/>
          <w:kern w:val="24"/>
          <w:sz w:val="28"/>
          <w:szCs w:val="28"/>
        </w:rPr>
        <w:t>Sts</w:t>
      </w:r>
      <w:proofErr w:type="spellEnd"/>
      <w:r>
        <w:rPr>
          <w:rFonts w:ascii="Times New Roman" w:eastAsia="Times New Roman" w:hAnsi="Times New Roman" w:cs="Times New Roman"/>
          <w:kern w:val="24"/>
          <w:sz w:val="28"/>
          <w:szCs w:val="28"/>
        </w:rPr>
        <w:t>, Lexington and 3rd Aves -- began in 1872. By Nov. 1873, the main structure (see slide) was up and in use as entries were being made in this burial book.</w:t>
      </w:r>
    </w:p>
    <w:p w:rsidR="007359EB" w:rsidRDefault="007359EB" w:rsidP="009647F2">
      <w:pPr>
        <w:autoSpaceDE w:val="0"/>
        <w:autoSpaceDN w:val="0"/>
        <w:adjustRightInd w:val="0"/>
        <w:spacing w:after="0" w:line="240" w:lineRule="auto"/>
        <w:rPr>
          <w:rFonts w:ascii="Calibri" w:eastAsia="Times New Roman" w:hAnsi="Times New Roman" w:cs="Calibri"/>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kern w:val="24"/>
          <w:sz w:val="28"/>
          <w:szCs w:val="28"/>
        </w:rPr>
      </w:pPr>
      <w:r>
        <w:rPr>
          <w:rFonts w:ascii="Times New Roman" w:eastAsia="Times New Roman" w:hAnsi="Times New Roman" w:cs="Times New Roman"/>
          <w:kern w:val="24"/>
          <w:sz w:val="28"/>
          <w:szCs w:val="28"/>
        </w:rPr>
        <w:t xml:space="preserve">Despite the nuns' best efforts to save the babies' lives, too many of those left at the Sisters' door were also already at death's door.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17</w:t>
      </w:r>
    </w:p>
    <w:p w:rsidR="009647F2" w:rsidRDefault="009647F2" w:rsidP="009647F2">
      <w:pPr>
        <w:spacing w:line="360" w:lineRule="auto"/>
      </w:pPr>
    </w:p>
    <w:p w:rsidR="009647F2" w:rsidRDefault="009647F2" w:rsidP="009647F2">
      <w:pPr>
        <w:spacing w:line="360" w:lineRule="auto"/>
        <w:jc w:val="center"/>
      </w:pPr>
      <w:r>
        <w:object w:dxaOrig="9594" w:dyaOrig="5407">
          <v:shape id="_x0000_i1041" type="#_x0000_t75" style="width:5in;height:20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65518639" r:id="rId37"/>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Glancing through the 30+ monthly tabulations of the institutional dead buried in Potter's Field reveals the Emigrant Hospital as consistently among the facilities contributing highest body counts.</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Though never Number 1 in the monthly tallies, the Ward's Island institution run by the state's emigration commissioners usually ranked in the top tier.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Castle Garden, also operated by the state emigration commissioners at the tip of Manhattan Island, was a reception complex, functioning as a combination help, refuge and quarantine center.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When it appears in the ledger's monthly institutional tallies, Castle Garden numbers place it in the lower tier. A few months it is not listed at all.</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18</w:t>
      </w:r>
    </w:p>
    <w:p w:rsidR="009647F2" w:rsidRDefault="009647F2" w:rsidP="009647F2">
      <w:pPr>
        <w:spacing w:line="360" w:lineRule="auto"/>
      </w:pPr>
    </w:p>
    <w:p w:rsidR="009647F2" w:rsidRDefault="009647F2" w:rsidP="009647F2">
      <w:pPr>
        <w:spacing w:line="360" w:lineRule="auto"/>
        <w:jc w:val="center"/>
      </w:pPr>
      <w:r>
        <w:object w:dxaOrig="9594" w:dyaOrig="5407">
          <v:shape id="_x0000_i1042" type="#_x0000_t75" style="width:5in;height:20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465518640" r:id="rId39"/>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Of the 19 whose burials are listed in the slide images from the book's second two-page spread of entries, only three are for persons older than 30, and those three were in their 40s.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Thirteen were children and youths not yet 21 years.</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Among the 40 entries in the preceding spread (the first of the book), only two are for person beyond the 40s: two men: one 50, the other 60.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r>
        <w:rPr>
          <w:rFonts w:ascii="Times New Roman" w:hAnsi="Times New Roman" w:cs="Times New Roman"/>
          <w:kern w:val="24"/>
          <w:sz w:val="28"/>
          <w:szCs w:val="28"/>
        </w:rPr>
        <w:t xml:space="preserve">The City Cemetery appears to have drawn most of its residents from the younger generations rather than from the older.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19</w:t>
      </w:r>
    </w:p>
    <w:p w:rsidR="009647F2" w:rsidRDefault="009647F2" w:rsidP="009647F2">
      <w:pPr>
        <w:spacing w:line="360" w:lineRule="auto"/>
      </w:pPr>
    </w:p>
    <w:p w:rsidR="009647F2" w:rsidRDefault="009647F2" w:rsidP="009647F2">
      <w:pPr>
        <w:spacing w:line="360" w:lineRule="auto"/>
        <w:jc w:val="center"/>
      </w:pPr>
      <w:r>
        <w:object w:dxaOrig="9594" w:dyaOrig="5407">
          <v:shape id="_x0000_i1043" type="#_x0000_t75" style="width:5in;height:20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465518641" r:id="rId41"/>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Why entries on religious affiliation? Because separate sections had been set apart for Catholic and Protestant burials. However, the </w:t>
      </w:r>
      <w:r>
        <w:rPr>
          <w:rFonts w:ascii="Times New Roman" w:eastAsia="Times New Roman" w:hAnsi="Times New Roman" w:cs="Times New Roman"/>
          <w:i/>
          <w:iCs/>
          <w:kern w:val="24"/>
          <w:sz w:val="28"/>
          <w:szCs w:val="28"/>
        </w:rPr>
        <w:t>Fourth Annual Report of the Board of Health: May 1, 1873 to April 30, 1874</w:t>
      </w:r>
      <w:r>
        <w:rPr>
          <w:rFonts w:ascii="Times New Roman" w:eastAsia="Times New Roman" w:hAnsi="Times New Roman" w:cs="Times New Roman"/>
          <w:kern w:val="24"/>
          <w:sz w:val="28"/>
          <w:szCs w:val="28"/>
        </w:rPr>
        <w:t xml:space="preserve">, said that practice ended as a result of a city ordinance adopted June 5, 1874: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"There is no religious distinction made in interring bodies, all persons being buried in conformity with an ordinance passed by the Common Council and approved by the Mayor, June 6, 1874; previous to the passage of this act, Protestants and Roman Catholics were buried in separate pits, which were consecrated according to their respective rites."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While the health board asserted that, as a result of the June, 1874 ordinance, "no religious distinction" was being "made in interring bodies," a religious distinction continued to be made in entering the burials into the City Cemetery register, as the slide image of some December 1874 entries clearly shows, the “P” standing for Protestant.</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20</w:t>
      </w:r>
    </w:p>
    <w:p w:rsidR="009647F2" w:rsidRDefault="009647F2" w:rsidP="009647F2">
      <w:pPr>
        <w:spacing w:line="360" w:lineRule="auto"/>
      </w:pPr>
    </w:p>
    <w:p w:rsidR="009647F2" w:rsidRDefault="009647F2" w:rsidP="009647F2">
      <w:pPr>
        <w:spacing w:line="360" w:lineRule="auto"/>
        <w:jc w:val="center"/>
      </w:pPr>
      <w:r>
        <w:object w:dxaOrig="9594" w:dyaOrig="5407">
          <v:shape id="_x0000_i1044" type="#_x0000_t75" style="width:5in;height:20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465518642" r:id="rId43"/>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Bellevue Hospital's Potter's Field body count, which registered 50 in each of the two preceding months (May and June, 1972), numbered 64 in July as well as in August, the highest monthly tallies for it in the book. </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Its Potter's Field body count was entered separately from that of the city Morgue which was situated at Bellevue Hospital.</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 xml:space="preserve">The number of those Bellevue patients who died and whose bodies went unclaimed for burial was distinguished from the number of deceased whose bodies went unclaimed after having been brought to the Morgue following death by accident, homicide, suicide or sudden fatal collapse at work or on the street. </w:t>
      </w:r>
    </w:p>
    <w:p w:rsidR="009647F2" w:rsidRDefault="009647F2" w:rsidP="009647F2">
      <w:pPr>
        <w:autoSpaceDE w:val="0"/>
        <w:autoSpaceDN w:val="0"/>
        <w:adjustRightInd w:val="0"/>
        <w:spacing w:after="0" w:line="240" w:lineRule="auto"/>
        <w:rPr>
          <w:rFonts w:ascii="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hAnsi="Calibri" w:cs="Calibri"/>
          <w:kern w:val="24"/>
          <w:sz w:val="28"/>
          <w:szCs w:val="28"/>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21</w:t>
      </w:r>
    </w:p>
    <w:p w:rsidR="009647F2" w:rsidRDefault="009647F2" w:rsidP="009647F2">
      <w:pPr>
        <w:spacing w:line="360" w:lineRule="auto"/>
      </w:pPr>
    </w:p>
    <w:p w:rsidR="009647F2" w:rsidRDefault="009647F2" w:rsidP="009647F2">
      <w:pPr>
        <w:spacing w:line="360" w:lineRule="auto"/>
        <w:jc w:val="center"/>
      </w:pPr>
      <w:r>
        <w:object w:dxaOrig="9594" w:dyaOrig="5407">
          <v:shape id="_x0000_i1045" type="#_x0000_t75" style="width:5in;height:20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465518643" r:id="rId45"/>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In most of the Hart Island burial book's monthly institutional tallies, the Morgue's numbers were significantly lower than those of the hospital. But on three occasions they exceeded the </w:t>
      </w:r>
      <w:proofErr w:type="gramStart"/>
      <w:r>
        <w:rPr>
          <w:rFonts w:ascii="Times New Roman" w:eastAsia="Times New Roman" w:hAnsi="Times New Roman" w:cs="Times New Roman"/>
          <w:kern w:val="24"/>
          <w:sz w:val="28"/>
          <w:szCs w:val="28"/>
        </w:rPr>
        <w:t>hospital's</w:t>
      </w:r>
      <w:proofErr w:type="gramEnd"/>
      <w:r>
        <w:rPr>
          <w:rFonts w:ascii="Times New Roman" w:eastAsia="Times New Roman" w:hAnsi="Times New Roman" w:cs="Times New Roman"/>
          <w:kern w:val="24"/>
          <w:sz w:val="28"/>
          <w:szCs w:val="28"/>
        </w:rPr>
        <w:t xml:space="preserve"> and on two occasions had the same number.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In June of 1874, the Morgue's Potter's Field was listed as 41, compared to the hospital's 26. The previous month (May, 1874) the Morgue's 28 edged the hospital's tally by 2. In September, 1874, the dead house edged the hospital's 14 by 1. In December, 1872 both had 13 and in May, 1873 both had 27.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 xml:space="preserve">The histories of Bellevue and its Morgue have continually intersected with that of NYC Correction. An excellent source pointing up the frequency and antiquity of those recurring connections is </w:t>
      </w:r>
      <w:r>
        <w:rPr>
          <w:rFonts w:ascii="Times New Roman" w:eastAsia="Times New Roman" w:hAnsi="Times New Roman" w:cs="Times New Roman"/>
          <w:i/>
          <w:iCs/>
          <w:kern w:val="24"/>
          <w:sz w:val="28"/>
          <w:szCs w:val="28"/>
          <w:u w:val="single"/>
        </w:rPr>
        <w:t>An Account of Bellevue Hospital,</w:t>
      </w:r>
      <w:r>
        <w:rPr>
          <w:rFonts w:ascii="Times New Roman" w:eastAsia="Times New Roman" w:hAnsi="Times New Roman" w:cs="Times New Roman"/>
          <w:kern w:val="24"/>
          <w:sz w:val="28"/>
          <w:szCs w:val="28"/>
        </w:rPr>
        <w:t xml:space="preserve"> first published by the Society of the Alumni of Bellevue Hospital in 1893 and now accessible on-line via Google Books.</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22</w:t>
      </w:r>
    </w:p>
    <w:p w:rsidR="009647F2" w:rsidRDefault="009647F2" w:rsidP="009647F2">
      <w:pPr>
        <w:spacing w:line="360" w:lineRule="auto"/>
      </w:pPr>
    </w:p>
    <w:p w:rsidR="009647F2" w:rsidRDefault="009647F2" w:rsidP="009647F2">
      <w:pPr>
        <w:spacing w:line="360" w:lineRule="auto"/>
        <w:jc w:val="center"/>
      </w:pPr>
      <w:r>
        <w:object w:dxaOrig="9594" w:dyaOrig="5407">
          <v:shape id="_x0000_i1046" type="#_x0000_t75" style="width:5in;height:20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465518644" r:id="rId47"/>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The burial book’s home away from the NYC Correction (Training) Academy archives,</w:t>
      </w:r>
      <w:r w:rsidR="007359EB">
        <w:rPr>
          <w:rFonts w:ascii="Times New Roman" w:eastAsia="Times New Roman" w:hAnsi="Times New Roman" w:cs="Times New Roman"/>
          <w:kern w:val="24"/>
          <w:sz w:val="28"/>
          <w:szCs w:val="28"/>
        </w:rPr>
        <w:t xml:space="preserve"> at</w:t>
      </w:r>
      <w:r>
        <w:rPr>
          <w:rFonts w:ascii="Times New Roman" w:eastAsia="Times New Roman" w:hAnsi="Times New Roman" w:cs="Times New Roman"/>
          <w:kern w:val="24"/>
          <w:sz w:val="28"/>
          <w:szCs w:val="28"/>
        </w:rPr>
        <w:t>tended there by the NY Correction History Society, is the Municipal Archives in the Surrogate Court Building. The ledger has been made available to the Municipal Archives micrographics unit and has been displayed in the Municipal Archives fascinating exhibit hall (which is well worth a visit if you are ever in the neighborhood).</w:t>
      </w:r>
    </w:p>
    <w:p w:rsidR="007359EB"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 xml:space="preserve">Situated at 31 Chambers St., </w:t>
      </w:r>
      <w:proofErr w:type="spellStart"/>
      <w:proofErr w:type="gramStart"/>
      <w:r>
        <w:rPr>
          <w:rFonts w:ascii="Times New Roman" w:eastAsia="Times New Roman" w:hAnsi="Times New Roman" w:cs="Times New Roman"/>
          <w:kern w:val="24"/>
          <w:sz w:val="28"/>
          <w:szCs w:val="28"/>
        </w:rPr>
        <w:t>nw</w:t>
      </w:r>
      <w:proofErr w:type="spellEnd"/>
      <w:proofErr w:type="gramEnd"/>
      <w:r>
        <w:rPr>
          <w:rFonts w:ascii="Times New Roman" w:eastAsia="Times New Roman" w:hAnsi="Times New Roman" w:cs="Times New Roman"/>
          <w:kern w:val="24"/>
          <w:sz w:val="28"/>
          <w:szCs w:val="28"/>
        </w:rPr>
        <w:t xml:space="preserve"> corner of Chambers and Centre Streets across from City Hall Park, the Surrogate Court began as Hall of Records.</w:t>
      </w:r>
    </w:p>
    <w:p w:rsidR="007359EB" w:rsidRDefault="007359EB" w:rsidP="009647F2">
      <w:pPr>
        <w:autoSpaceDE w:val="0"/>
        <w:autoSpaceDN w:val="0"/>
        <w:adjustRightInd w:val="0"/>
        <w:spacing w:after="0" w:line="240" w:lineRule="auto"/>
        <w:rPr>
          <w:rFonts w:ascii="Calibri" w:eastAsia="Times New Roman" w:hAnsi="Times New Roman" w:cs="Calibri"/>
        </w:rPr>
      </w:pPr>
    </w:p>
    <w:p w:rsidR="009647F2" w:rsidRDefault="009647F2" w:rsidP="009647F2">
      <w:pPr>
        <w:autoSpaceDE w:val="0"/>
        <w:autoSpaceDN w:val="0"/>
        <w:adjustRightInd w:val="0"/>
        <w:spacing w:after="0" w:line="240" w:lineRule="auto"/>
        <w:rPr>
          <w:rFonts w:ascii="Calibri" w:eastAsia="Times New Roman" w:hAnsi="Times New Roman" w:cs="Calibri"/>
        </w:rPr>
      </w:pPr>
      <w:r>
        <w:rPr>
          <w:rFonts w:ascii="Times New Roman" w:eastAsia="Times New Roman" w:hAnsi="Times New Roman" w:cs="Times New Roman"/>
          <w:kern w:val="24"/>
          <w:sz w:val="28"/>
          <w:szCs w:val="28"/>
        </w:rPr>
        <w:t>Initial planning for the Beaux Arts style building began in 1888 -- 13 years after the last entry in this burial register -- and took 8 years to build (from 1899 to 1907) at a cost of more than $7 million. The interior, considered to be among the most beautiful in the city, is frequently filmed and can be seen in dozens of movies and TV’s "Law and Order."</w:t>
      </w: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kern w:val="24"/>
          <w:sz w:val="28"/>
          <w:szCs w:val="28"/>
        </w:rPr>
      </w:pP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23</w:t>
      </w:r>
    </w:p>
    <w:p w:rsidR="009647F2" w:rsidRDefault="009647F2" w:rsidP="009647F2">
      <w:pPr>
        <w:spacing w:line="360" w:lineRule="auto"/>
      </w:pPr>
    </w:p>
    <w:p w:rsidR="009647F2" w:rsidRDefault="009647F2" w:rsidP="009647F2">
      <w:pPr>
        <w:spacing w:line="360" w:lineRule="auto"/>
        <w:jc w:val="center"/>
      </w:pPr>
      <w:r>
        <w:object w:dxaOrig="9594" w:dyaOrig="5407">
          <v:shape id="_x0000_i1047" type="#_x0000_t75" style="width:5in;height:20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465518645" r:id="rId49"/>
        </w:object>
      </w:r>
    </w:p>
    <w:p w:rsidR="009647F2" w:rsidRDefault="009647F2" w:rsidP="009647F2">
      <w:pPr>
        <w:spacing w:line="360" w:lineRule="auto"/>
        <w:jc w:val="cente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slide images of the NY Correction History Society webmaster showing the burial book to Municipal Archives Assistant Commissioner Kenneth R. Cobb and of an archives micrographics staffer scanning it were extracted from photos taken by Cooper Union photography professor Christine Osinski.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The archives micrographics unit produces microfilm reels which family historians and other researchers can view on the records agency's microfilm reading machines at its facilities in the historic Courthouse.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 A number of questions are likely to occur to the observant among those who might view the burial book on Municipal Archives microfilm or in our web presentation about it, once we complete and post it.  Even if they don’t, the web presentation will point some of them out. For example: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Calibri" w:eastAsia="Times New Roman" w:hAnsi="Times New Roman" w:cs="Calibri"/>
          <w:kern w:val="24"/>
          <w:sz w:val="28"/>
          <w:szCs w:val="28"/>
        </w:rPr>
      </w:pPr>
      <w:r>
        <w:rPr>
          <w:rFonts w:ascii="Times New Roman" w:eastAsia="Times New Roman" w:hAnsi="Times New Roman" w:cs="Times New Roman"/>
          <w:kern w:val="24"/>
          <w:sz w:val="32"/>
          <w:szCs w:val="32"/>
        </w:rPr>
        <w:t xml:space="preserve">*Why is Colored Home nearly never spelled out, almost always abbreviated when there’s plenty of room to write it in full? </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
        <w:br w:type="page"/>
      </w:r>
    </w:p>
    <w:p w:rsidR="009647F2" w:rsidRDefault="009647F2" w:rsidP="009647F2">
      <w:pPr>
        <w:spacing w:line="360" w:lineRule="auto"/>
      </w:pPr>
      <w:r>
        <w:lastRenderedPageBreak/>
        <w:t>Slide 24</w:t>
      </w:r>
    </w:p>
    <w:p w:rsidR="009647F2" w:rsidRDefault="009647F2" w:rsidP="009647F2">
      <w:pPr>
        <w:spacing w:line="360" w:lineRule="auto"/>
      </w:pPr>
    </w:p>
    <w:p w:rsidR="009647F2" w:rsidRDefault="009647F2" w:rsidP="009647F2">
      <w:pPr>
        <w:spacing w:line="360" w:lineRule="auto"/>
        <w:jc w:val="center"/>
      </w:pPr>
      <w:r>
        <w:object w:dxaOrig="9594" w:dyaOrig="5407">
          <v:shape id="_x0000_i1048" type="#_x0000_t75" style="width:5in;height:20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465518646" r:id="rId51"/>
        </w:object>
      </w:r>
    </w:p>
    <w:p w:rsidR="009647F2" w:rsidRDefault="009647F2" w:rsidP="009647F2">
      <w:pPr>
        <w:spacing w:line="360" w:lineRule="auto"/>
        <w:jc w:val="center"/>
      </w:pP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*Why no entry column for gender? </w:t>
      </w: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*Since this register was used in the post-Civil War era, why is there no reference to the veteran status of any of those ex-soldiers and ex-sailors whose burials must have been recorded? </w:t>
      </w:r>
    </w:p>
    <w:p w:rsidR="007359EB"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*What institution on Randall’s Island are we supposed to understand as cited simply by w</w:t>
      </w:r>
      <w:r w:rsidR="007359EB">
        <w:rPr>
          <w:rFonts w:ascii="Times New Roman" w:eastAsia="Times New Roman" w:hAnsi="Times New Roman" w:cs="Times New Roman"/>
          <w:kern w:val="24"/>
          <w:sz w:val="28"/>
          <w:szCs w:val="28"/>
        </w:rPr>
        <w:t>riting the island’s name in one</w:t>
      </w:r>
      <w:r>
        <w:rPr>
          <w:rFonts w:ascii="Times New Roman" w:eastAsia="Times New Roman" w:hAnsi="Times New Roman" w:cs="Times New Roman"/>
          <w:kern w:val="24"/>
          <w:sz w:val="28"/>
          <w:szCs w:val="28"/>
        </w:rPr>
        <w:t xml:space="preserve"> of the monthly tabulations? Could it have been the Idiot and Epileptic Hospital?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w:t>
      </w:r>
      <w:r w:rsidR="009647F2">
        <w:rPr>
          <w:rFonts w:ascii="Times New Roman" w:eastAsia="Times New Roman" w:hAnsi="Times New Roman" w:cs="Times New Roman"/>
          <w:kern w:val="24"/>
          <w:sz w:val="28"/>
          <w:szCs w:val="28"/>
        </w:rPr>
        <w:t xml:space="preserve">Was </w:t>
      </w:r>
      <w:r>
        <w:rPr>
          <w:rFonts w:ascii="Times New Roman" w:eastAsia="Times New Roman" w:hAnsi="Times New Roman" w:cs="Times New Roman"/>
          <w:kern w:val="24"/>
          <w:sz w:val="28"/>
          <w:szCs w:val="28"/>
        </w:rPr>
        <w:t>“</w:t>
      </w:r>
      <w:r w:rsidR="009647F2">
        <w:rPr>
          <w:rFonts w:ascii="Times New Roman" w:eastAsia="Times New Roman" w:hAnsi="Times New Roman" w:cs="Times New Roman"/>
          <w:kern w:val="24"/>
          <w:sz w:val="28"/>
          <w:szCs w:val="28"/>
        </w:rPr>
        <w:t>99</w:t>
      </w:r>
      <w:r w:rsidR="009647F2">
        <w:rPr>
          <w:rFonts w:ascii="Times New Roman" w:eastAsia="Times New Roman" w:hAnsi="Times New Roman" w:cs="Times New Roman"/>
          <w:kern w:val="24"/>
          <w:sz w:val="28"/>
          <w:szCs w:val="28"/>
          <w:vertAlign w:val="superscript"/>
        </w:rPr>
        <w:t>th</w:t>
      </w:r>
      <w:r w:rsidR="009647F2">
        <w:rPr>
          <w:rFonts w:ascii="Times New Roman" w:eastAsia="Times New Roman" w:hAnsi="Times New Roman" w:cs="Times New Roman"/>
          <w:kern w:val="24"/>
          <w:sz w:val="28"/>
          <w:szCs w:val="28"/>
        </w:rPr>
        <w:t xml:space="preserve"> St. Hospital</w:t>
      </w:r>
      <w:r>
        <w:rPr>
          <w:rFonts w:ascii="Times New Roman" w:eastAsia="Times New Roman" w:hAnsi="Times New Roman" w:cs="Times New Roman"/>
          <w:kern w:val="24"/>
          <w:sz w:val="28"/>
          <w:szCs w:val="28"/>
        </w:rPr>
        <w:t>”</w:t>
      </w:r>
      <w:r w:rsidR="009647F2">
        <w:rPr>
          <w:rFonts w:ascii="Times New Roman" w:eastAsia="Times New Roman" w:hAnsi="Times New Roman" w:cs="Times New Roman"/>
          <w:kern w:val="24"/>
          <w:sz w:val="28"/>
          <w:szCs w:val="28"/>
        </w:rPr>
        <w:t xml:space="preserve"> short for Bloomingdale Dispensary at 99</w:t>
      </w:r>
      <w:r w:rsidR="009647F2">
        <w:rPr>
          <w:rFonts w:ascii="Times New Roman" w:eastAsia="Times New Roman" w:hAnsi="Times New Roman" w:cs="Times New Roman"/>
          <w:kern w:val="24"/>
          <w:sz w:val="28"/>
          <w:szCs w:val="28"/>
          <w:vertAlign w:val="superscript"/>
        </w:rPr>
        <w:t>th</w:t>
      </w:r>
      <w:r w:rsidR="009647F2">
        <w:rPr>
          <w:rFonts w:ascii="Times New Roman" w:eastAsia="Times New Roman" w:hAnsi="Times New Roman" w:cs="Times New Roman"/>
          <w:kern w:val="24"/>
          <w:sz w:val="28"/>
          <w:szCs w:val="28"/>
        </w:rPr>
        <w:t xml:space="preserve"> St. and 10</w:t>
      </w:r>
      <w:r w:rsidR="009647F2">
        <w:rPr>
          <w:rFonts w:ascii="Times New Roman" w:eastAsia="Times New Roman" w:hAnsi="Times New Roman" w:cs="Times New Roman"/>
          <w:kern w:val="24"/>
          <w:sz w:val="28"/>
          <w:szCs w:val="28"/>
          <w:vertAlign w:val="superscript"/>
        </w:rPr>
        <w:t>th</w:t>
      </w:r>
      <w:r w:rsidR="009647F2">
        <w:rPr>
          <w:rFonts w:ascii="Times New Roman" w:eastAsia="Times New Roman" w:hAnsi="Times New Roman" w:cs="Times New Roman"/>
          <w:kern w:val="24"/>
          <w:sz w:val="28"/>
          <w:szCs w:val="28"/>
        </w:rPr>
        <w:t xml:space="preserve"> Ave.?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8"/>
          <w:szCs w:val="28"/>
        </w:rPr>
      </w:pPr>
      <w:r>
        <w:rPr>
          <w:rFonts w:ascii="Times New Roman" w:eastAsia="Times New Roman" w:hAnsi="Times New Roman" w:cs="Times New Roman"/>
          <w:kern w:val="24"/>
          <w:sz w:val="28"/>
          <w:szCs w:val="28"/>
        </w:rPr>
        <w:t xml:space="preserve">So you ask me: “Mr. Webmaster, why not find the answers to these questions and post them in the presentation itself?” </w:t>
      </w:r>
    </w:p>
    <w:p w:rsidR="007359EB" w:rsidRDefault="007359EB" w:rsidP="009647F2">
      <w:pPr>
        <w:autoSpaceDE w:val="0"/>
        <w:autoSpaceDN w:val="0"/>
        <w:adjustRightInd w:val="0"/>
        <w:spacing w:after="0" w:line="240" w:lineRule="auto"/>
        <w:rPr>
          <w:rFonts w:ascii="Times New Roman" w:eastAsia="Times New Roman" w:hAnsi="Times New Roman" w:cs="Times New Roman"/>
          <w:kern w:val="24"/>
          <w:sz w:val="28"/>
          <w:szCs w:val="28"/>
        </w:rPr>
      </w:pPr>
    </w:p>
    <w:p w:rsidR="009647F2" w:rsidRDefault="009647F2" w:rsidP="009647F2">
      <w:pPr>
        <w:autoSpaceDE w:val="0"/>
        <w:autoSpaceDN w:val="0"/>
        <w:adjustRightInd w:val="0"/>
        <w:spacing w:after="0" w:line="240" w:lineRule="auto"/>
        <w:rPr>
          <w:rFonts w:ascii="Times New Roman" w:eastAsia="Times New Roman" w:hAnsi="Times New Roman" w:cs="Times New Roman"/>
          <w:kern w:val="24"/>
          <w:sz w:val="24"/>
          <w:szCs w:val="24"/>
        </w:rPr>
      </w:pPr>
      <w:r>
        <w:rPr>
          <w:rFonts w:ascii="Times New Roman" w:eastAsia="Times New Roman" w:hAnsi="Times New Roman" w:cs="Times New Roman"/>
          <w:kern w:val="24"/>
          <w:sz w:val="28"/>
          <w:szCs w:val="28"/>
        </w:rPr>
        <w:t xml:space="preserve">Answer: “Because the purpose of the </w:t>
      </w:r>
      <w:r w:rsidR="007359EB">
        <w:rPr>
          <w:rFonts w:ascii="Times New Roman" w:eastAsia="Times New Roman" w:hAnsi="Times New Roman" w:cs="Times New Roman"/>
          <w:kern w:val="24"/>
          <w:sz w:val="28"/>
          <w:szCs w:val="28"/>
        </w:rPr>
        <w:t xml:space="preserve">web </w:t>
      </w:r>
      <w:r>
        <w:rPr>
          <w:rFonts w:ascii="Times New Roman" w:eastAsia="Times New Roman" w:hAnsi="Times New Roman" w:cs="Times New Roman"/>
          <w:kern w:val="24"/>
          <w:sz w:val="28"/>
          <w:szCs w:val="28"/>
        </w:rPr>
        <w:t xml:space="preserve">presentation is to provoke, to entice, to tempt, to get people hooked on the ‘history addiction’ </w:t>
      </w:r>
      <w:proofErr w:type="gramStart"/>
      <w:r>
        <w:rPr>
          <w:rFonts w:ascii="Times New Roman" w:eastAsia="Times New Roman" w:hAnsi="Times New Roman" w:cs="Times New Roman"/>
          <w:kern w:val="24"/>
          <w:sz w:val="28"/>
          <w:szCs w:val="28"/>
        </w:rPr>
        <w:t>of  detecting</w:t>
      </w:r>
      <w:proofErr w:type="gramEnd"/>
      <w:r>
        <w:rPr>
          <w:rFonts w:ascii="Times New Roman" w:eastAsia="Times New Roman" w:hAnsi="Times New Roman" w:cs="Times New Roman"/>
          <w:kern w:val="24"/>
          <w:sz w:val="28"/>
          <w:szCs w:val="28"/>
        </w:rPr>
        <w:t xml:space="preserve"> such questions in a fragile old ledger book like this and to prompt them to search for the answers themselves, realizing how record books can be a key to seeing the past anew and finding it still lingers on in the present.” </w:t>
      </w:r>
    </w:p>
    <w:p w:rsidR="009647F2" w:rsidRDefault="009647F2" w:rsidP="009647F2">
      <w:pPr>
        <w:autoSpaceDE w:val="0"/>
        <w:autoSpaceDN w:val="0"/>
        <w:adjustRightInd w:val="0"/>
        <w:spacing w:after="0" w:line="240" w:lineRule="auto"/>
        <w:jc w:val="center"/>
        <w:rPr>
          <w:rFonts w:ascii="Calibri" w:eastAsia="Times New Roman" w:hAnsi="Times New Roman" w:cs="Calibri"/>
          <w:kern w:val="24"/>
          <w:sz w:val="24"/>
          <w:szCs w:val="24"/>
        </w:rPr>
      </w:pPr>
      <w:r>
        <w:rPr>
          <w:rFonts w:ascii="Times New Roman" w:eastAsia="Times New Roman" w:hAnsi="Times New Roman" w:cs="Times New Roman"/>
          <w:kern w:val="24"/>
          <w:sz w:val="24"/>
          <w:szCs w:val="24"/>
        </w:rPr>
        <w:t>###</w:t>
      </w:r>
    </w:p>
    <w:p w:rsidR="009647F2" w:rsidRDefault="009647F2" w:rsidP="009647F2">
      <w:pPr>
        <w:autoSpaceDE w:val="0"/>
        <w:autoSpaceDN w:val="0"/>
        <w:adjustRightInd w:val="0"/>
        <w:spacing w:after="0" w:line="240" w:lineRule="auto"/>
        <w:rPr>
          <w:rFonts w:ascii="Arial" w:hAnsi="Arial" w:cs="Arial"/>
          <w:sz w:val="24"/>
          <w:szCs w:val="24"/>
        </w:rPr>
      </w:pPr>
    </w:p>
    <w:p w:rsidR="009647F2" w:rsidRDefault="009647F2" w:rsidP="009647F2">
      <w:pPr>
        <w:spacing w:line="360" w:lineRule="auto"/>
      </w:pPr>
    </w:p>
    <w:p w:rsidR="009647F2" w:rsidRDefault="009647F2" w:rsidP="009647F2">
      <w:pPr>
        <w:spacing w:line="360" w:lineRule="auto"/>
      </w:pPr>
    </w:p>
    <w:sectPr w:rsidR="009647F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47F2"/>
    <w:rsid w:val="0004406C"/>
    <w:rsid w:val="001419E1"/>
    <w:rsid w:val="00240D9C"/>
    <w:rsid w:val="007359EB"/>
    <w:rsid w:val="00893CBC"/>
    <w:rsid w:val="009647F2"/>
    <w:rsid w:val="00DC42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5:chartTrackingRefBased/>
  <w15:docId w15:val="{4688701B-B95B-4FEC-9FE6-7F0D5C92A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5.sldx"/><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package" Target="embeddings/Microsoft_PowerPoint_Slide18.sldx"/><Relationship Id="rId3" Type="http://schemas.openxmlformats.org/officeDocument/2006/relationships/webSettings" Target="webSettings.xml"/><Relationship Id="rId21" Type="http://schemas.openxmlformats.org/officeDocument/2006/relationships/package" Target="embeddings/Microsoft_PowerPoint_Slide9.sldx"/><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package" Target="embeddings/Microsoft_PowerPoint_Slide22.sldx"/><Relationship Id="rId50" Type="http://schemas.openxmlformats.org/officeDocument/2006/relationships/image" Target="media/image24.emf"/><Relationship Id="rId7" Type="http://schemas.openxmlformats.org/officeDocument/2006/relationships/package" Target="embeddings/Microsoft_PowerPoint_Slide2.sldx"/><Relationship Id="rId12" Type="http://schemas.openxmlformats.org/officeDocument/2006/relationships/image" Target="media/image5.emf"/><Relationship Id="rId17" Type="http://schemas.openxmlformats.org/officeDocument/2006/relationships/package" Target="embeddings/Microsoft_PowerPoint_Slide7.sldx"/><Relationship Id="rId25" Type="http://schemas.openxmlformats.org/officeDocument/2006/relationships/package" Target="embeddings/Microsoft_PowerPoint_Slide11.sldx"/><Relationship Id="rId33" Type="http://schemas.openxmlformats.org/officeDocument/2006/relationships/package" Target="embeddings/Microsoft_PowerPoint_Slide15.sldx"/><Relationship Id="rId38" Type="http://schemas.openxmlformats.org/officeDocument/2006/relationships/image" Target="media/image18.emf"/><Relationship Id="rId46" Type="http://schemas.openxmlformats.org/officeDocument/2006/relationships/image" Target="media/image22.emf"/><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package" Target="embeddings/Microsoft_PowerPoint_Slide13.sldx"/><Relationship Id="rId41" Type="http://schemas.openxmlformats.org/officeDocument/2006/relationships/package" Target="embeddings/Microsoft_PowerPoint_Slide19.sldx"/><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PowerPoint_Slide4.sldx"/><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PowerPoint_Slide17.sldx"/><Relationship Id="rId40" Type="http://schemas.openxmlformats.org/officeDocument/2006/relationships/image" Target="media/image19.emf"/><Relationship Id="rId45" Type="http://schemas.openxmlformats.org/officeDocument/2006/relationships/package" Target="embeddings/Microsoft_PowerPoint_Slide21.sldx"/><Relationship Id="rId53" Type="http://schemas.openxmlformats.org/officeDocument/2006/relationships/theme" Target="theme/theme1.xml"/><Relationship Id="rId5" Type="http://schemas.openxmlformats.org/officeDocument/2006/relationships/package" Target="embeddings/Microsoft_PowerPoint_Slide1.sldx"/><Relationship Id="rId15" Type="http://schemas.openxmlformats.org/officeDocument/2006/relationships/package" Target="embeddings/Microsoft_PowerPoint_Slide6.sldx"/><Relationship Id="rId23" Type="http://schemas.openxmlformats.org/officeDocument/2006/relationships/package" Target="embeddings/Microsoft_PowerPoint_Slide10.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PowerPoint_Slide23.sldx"/><Relationship Id="rId10" Type="http://schemas.openxmlformats.org/officeDocument/2006/relationships/image" Target="media/image4.emf"/><Relationship Id="rId19" Type="http://schemas.openxmlformats.org/officeDocument/2006/relationships/package" Target="embeddings/Microsoft_PowerPoint_Slide8.sldx"/><Relationship Id="rId31" Type="http://schemas.openxmlformats.org/officeDocument/2006/relationships/package" Target="embeddings/Microsoft_PowerPoint_Slide14.sldx"/><Relationship Id="rId44" Type="http://schemas.openxmlformats.org/officeDocument/2006/relationships/image" Target="media/image21.emf"/><Relationship Id="rId52"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package" Target="embeddings/Microsoft_PowerPoint_Slide3.sld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PowerPoint_Slide12.sldx"/><Relationship Id="rId30" Type="http://schemas.openxmlformats.org/officeDocument/2006/relationships/image" Target="media/image14.emf"/><Relationship Id="rId35" Type="http://schemas.openxmlformats.org/officeDocument/2006/relationships/package" Target="embeddings/Microsoft_PowerPoint_Slide16.sldx"/><Relationship Id="rId43" Type="http://schemas.openxmlformats.org/officeDocument/2006/relationships/package" Target="embeddings/Microsoft_PowerPoint_Slide20.sldx"/><Relationship Id="rId48" Type="http://schemas.openxmlformats.org/officeDocument/2006/relationships/image" Target="media/image23.emf"/><Relationship Id="rId8" Type="http://schemas.openxmlformats.org/officeDocument/2006/relationships/image" Target="media/image3.emf"/><Relationship Id="rId51" Type="http://schemas.openxmlformats.org/officeDocument/2006/relationships/package" Target="embeddings/Microsoft_PowerPoint_Slide24.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2859</Words>
  <Characters>16298</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19119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mccarthy</dc:creator>
  <cp:keywords/>
  <dc:description/>
  <cp:lastModifiedBy>thomas mccarthy</cp:lastModifiedBy>
  <cp:revision>3</cp:revision>
  <dcterms:created xsi:type="dcterms:W3CDTF">2014-06-29T07:41:00Z</dcterms:created>
  <dcterms:modified xsi:type="dcterms:W3CDTF">2014-06-29T07:41:00Z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